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Aide-mémoire Aménagement site extérieur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Organisation d’un événement accessible aux personnes en situation de handicap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36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Indications pour remplir la grille d’évaluation 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c6c6c6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60" w:lineRule="auto"/>
        <w:ind w:right="2705"/>
        <w:rPr>
          <w:rFonts w:ascii="Quattrocento Sans" w:cs="Quattrocento Sans" w:eastAsia="Quattrocento Sans" w:hAnsi="Quattrocento Sans"/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Tous les critères de la grille représentent des éléments essentiels pour garantir une accessibilité optimale et une expérience inclusive pour toutes les personnes en situation de handicap : idéalement, chaque critère applicable devrait donc être cochée « O » pour oui. </w:t>
      </w:r>
      <w:r w:rsidDel="00000000" w:rsidR="00000000" w:rsidRPr="00000000">
        <w:rPr>
          <w:sz w:val="20"/>
          <w:szCs w:val="20"/>
          <w:shd w:fill="c6c6c6" w:val="clear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60" w:lineRule="auto"/>
        <w:ind w:right="2705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Les critères marqués d’un astérisque (*)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 </w:t>
      </w:r>
      <w:r w:rsidDel="00000000" w:rsidR="00000000" w:rsidRPr="00000000">
        <w:rPr>
          <w:sz w:val="20"/>
          <w:szCs w:val="20"/>
          <w:rtl w:val="0"/>
        </w:rPr>
        <w:t xml:space="preserve">sont non obligatoires : s’ils ne sont pas présents dans l’aménagement évalué, cochez simplement « N/A »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 </w:t>
      </w:r>
      <w:r w:rsidDel="00000000" w:rsidR="00000000" w:rsidRPr="00000000">
        <w:rPr>
          <w:sz w:val="20"/>
          <w:szCs w:val="20"/>
          <w:rtl w:val="0"/>
        </w:rPr>
        <w:t xml:space="preserve">(non applicable) et poursuivez l’évaluation. En revanche, s’ils sont présents, ils doivent être analysés et adaptés conformément aux exigences d’accessibilité décrites. </w:t>
      </w:r>
    </w:p>
    <w:p w:rsidR="00000000" w:rsidDel="00000000" w:rsidP="00000000" w:rsidRDefault="00000000" w:rsidRPr="00000000" w14:paraId="00000006">
      <w:pPr>
        <w:spacing w:line="260" w:lineRule="auto"/>
        <w:ind w:right="2705"/>
        <w:rPr>
          <w:sz w:val="20"/>
          <w:szCs w:val="20"/>
          <w:shd w:fill="c6c6c6" w:val="clear"/>
        </w:rPr>
      </w:pPr>
      <w:r w:rsidDel="00000000" w:rsidR="00000000" w:rsidRPr="00000000">
        <w:rPr>
          <w:sz w:val="20"/>
          <w:szCs w:val="20"/>
          <w:rtl w:val="0"/>
        </w:rPr>
        <w:t xml:space="preserve">Utilisez toujours la colonne « N/A »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 </w:t>
      </w:r>
      <w:r w:rsidDel="00000000" w:rsidR="00000000" w:rsidRPr="00000000">
        <w:rPr>
          <w:sz w:val="20"/>
          <w:szCs w:val="20"/>
          <w:rtl w:val="0"/>
        </w:rPr>
        <w:t xml:space="preserve">uniquement lorsque le critère ne s’applique réellement pas à l’événement ou à l’espace évalué.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 </w:t>
      </w:r>
      <w:r w:rsidDel="00000000" w:rsidR="00000000" w:rsidRPr="00000000">
        <w:rPr>
          <w:sz w:val="20"/>
          <w:szCs w:val="20"/>
          <w:shd w:fill="c6c6c6" w:val="clear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line="260" w:lineRule="auto"/>
        <w:ind w:right="2705"/>
        <w:rPr>
          <w:rFonts w:ascii="Quattrocento Sans" w:cs="Quattrocento Sans" w:eastAsia="Quattrocento Sans" w:hAnsi="Quattrocento San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099.0" w:type="dxa"/>
        <w:jc w:val="left"/>
        <w:tblInd w:w="13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84"/>
        <w:gridCol w:w="12757"/>
        <w:gridCol w:w="142"/>
        <w:gridCol w:w="425"/>
        <w:gridCol w:w="425"/>
        <w:gridCol w:w="66"/>
        <w:tblGridChange w:id="0">
          <w:tblGrid>
            <w:gridCol w:w="284"/>
            <w:gridCol w:w="12757"/>
            <w:gridCol w:w="142"/>
            <w:gridCol w:w="425"/>
            <w:gridCol w:w="425"/>
            <w:gridCol w:w="66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1. Transport et Stationnement*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left w:w="113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left w:w="113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Zone de débarcadère plane, antidérapante, dégagée et près de l’entrée (50 m).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Signalisation claire et visible (panneaux + marquage au sol).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Stationnements réservés avec dégagement latéral minimum de 150 cm.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Zone d’attente sécuritaire en retrait de la circulation (banc, ombre, information visuelle et sonore).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Entrée et Accueil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Entrée repérable, sans marche, ni seuil et dégagée.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Comptoir d’accueil abaissé (73 cm et 86 cm du sol), terminal sans fil et tactile.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Aire de manœuvre minimum de 170 cm devant les comptoirs.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Zone d’attente assise disponible en retrait de la circulation en cas de file d’attente.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Affichage visuel clair et pictogramme d’accessibilité.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Moyens de communication : papier (en braille), tablette, ardoise, LSQ sur demande.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Kiosques accessibles (comptoir entre 73 cm et 86 cm au-dessus du sol, dégagements pour les genoux d’au moins 82 cm de largeur; 48 cm de profondeur; </w:t>
              <w:br w:type="textWrapping"/>
              <w:t xml:space="preserve">68,5 cm de hauteur).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Personnel formé pour l’assistance.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3. Parcours et Circulation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Chemins continus, plats, fermes, antidérapants et sans obstacle d’au moins 160 cm de largeur.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Pente ≤ 1:20 (5%), rampes ≤ 1:12 (8%) avec palier de repos à chaque 9 mètres.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Aire de manœuvre minimum de 170 cm.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Éclairage diffus et sans éblouissement.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Repères tactiles et contrastes visuels (bandes podotactiles, bandes de guidage).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Cache-fils avec pente douce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​</w:t>
            </w: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et de couleur contrastante.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4. Scènes et Espaces d’activités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Rampe ≤ 1:12 (8 %) d’une largeur minimum de 100 cm ou plateforme élévatrice.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Surfaces plates, fermes, antidérapantes et sans obstacles.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Scène résistante au poids des aides à la mobilité utilisées (fauteuils roulants- tri/quadriporteur).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Surface bien délimitée (bandes de couleur contrastante).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Micro ajustable, éclairage doux pour lecture labiale.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5. Zone de vision et public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Espaces réservés pour fauteuils roulants- tri/quadriporteur, accompagnateurs et animaux d’assistance, signalé par pictogramme d’accessibilité.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Surfaces plates, fermes, antidérapantes.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Vue dégagée sur la scène et interprètes.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Sous-titres en direct / écrans géants si possible. *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Boucle magnétique / système FM signalé par pictogramme d’accessibilité.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Variété de sièges (avec/sans accoudoir, dossiers, tailles variées).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6. Zone calme et sensorielle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Accès facile, près mais à l’écart du parcours principal.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Espace fermé, surveillance discrète, bruit limité.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Matériel apaisant (coussins, objets sensoriels, casques antibruit).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7. Toilettes et Installations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Toilettes universelles accessibles à proximité de chaque grande zone, signalées par le pictogramme d’accessibilité (siège de toilette entre 43 cm à 48 cm du sol, barres d'appui horizontales et en L à au plus 85 cm du sol, espace de transfert d’au moins 90 cm)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Surface plane et aire de manœuvre de minimum 170 cm devant la cabine.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8. Aires de repos et Points d’eau</w:t>
            </w: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Sièges accessibles (hauteur entre 46 cm et 50 cm, support dorsal avec/sans accoudoirs).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Tables accessibles (entre 73 cm et 86 cm du sol, dégagement pour les genoux d’au moins 82 cm de largeur; 48 cm de profondeur; 68,5 cm de hauteur).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Points d’eau accessibles pour personnes (75 cm et 90 cm du sol) et animaux d’assistance.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Mobiliers de couleur contrastante.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28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rPr>
          <w:rFonts w:ascii="Play" w:cs="Play" w:eastAsia="Play" w:hAnsi="Play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Play" w:cs="Play" w:eastAsia="Play" w:hAnsi="Play"/>
          <w:sz w:val="18"/>
          <w:szCs w:val="18"/>
          <w:shd w:fill="c6c6c6" w:val="clear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18"/>
          <w:szCs w:val="18"/>
          <w:highlight w:val="white"/>
          <w:rtl w:val="0"/>
        </w:rPr>
        <w:t xml:space="preserve">*</w:t>
      </w:r>
      <w:r w:rsidDel="00000000" w:rsidR="00000000" w:rsidRPr="00000000">
        <w:rPr>
          <w:rFonts w:ascii="Play" w:cs="Play" w:eastAsia="Play" w:hAnsi="Play"/>
          <w:sz w:val="18"/>
          <w:szCs w:val="18"/>
          <w:highlight w:val="white"/>
          <w:rtl w:val="0"/>
        </w:rPr>
        <w:t xml:space="preserve"> Les critères marqués d’un astérisque ne sont pas obligatoires. Toutefois, s’ils sont présents, ils doivent être adaptés.</w:t>
      </w:r>
      <w:r w:rsidDel="00000000" w:rsidR="00000000" w:rsidRPr="00000000">
        <w:rPr>
          <w:rFonts w:ascii="Play" w:cs="Play" w:eastAsia="Play" w:hAnsi="Play"/>
          <w:sz w:val="18"/>
          <w:szCs w:val="18"/>
          <w:shd w:fill="c6c6c6" w:val="clear"/>
          <w:rtl w:val="0"/>
        </w:rPr>
        <w:t xml:space="preserve"> 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2240" w:w="15840" w:orient="landscape"/>
      <w:pgMar w:bottom="1134" w:top="1610" w:left="921" w:right="1440" w:header="0" w:footer="2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tkinson Hyperlegibl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Noto Sans Symbols">
    <w:embedRegular w:fontKey="{00000000-0000-0000-0000-000000000000}" r:id="rId11" w:subsetted="0"/>
    <w:embedBold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tkinson Hyperlegible" w:cs="Atkinson Hyperlegible" w:eastAsia="Atkinson Hyperlegible" w:hAnsi="Atkinson Hyperlegible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652980" cy="4133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980" cy="4133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spacing w:line="276" w:lineRule="auto"/>
      <w:ind w:left="142" w:right="-1935" w:firstLine="0"/>
      <w:rPr>
        <w:rFonts w:ascii="Atkinson Hyperlegible" w:cs="Atkinson Hyperlegible" w:eastAsia="Atkinson Hyperlegible" w:hAnsi="Atkinson Hyperlegible"/>
        <w:sz w:val="18"/>
        <w:szCs w:val="18"/>
      </w:rPr>
    </w:pPr>
    <w:r w:rsidDel="00000000" w:rsidR="00000000" w:rsidRPr="00000000">
      <w:rPr>
        <w:rFonts w:ascii="Atkinson Hyperlegible" w:cs="Atkinson Hyperlegible" w:eastAsia="Atkinson Hyperlegible" w:hAnsi="Atkinson Hyperlegible"/>
        <w:b w:val="1"/>
        <w:bCs w:val="1"/>
        <w:rtl w:val="0"/>
      </w:rPr>
      <w:t xml:space="preserve">Kéroul   </w:t>
    </w:r>
    <w:r w:rsidDel="00000000" w:rsidR="00000000" w:rsidRPr="00000000">
      <w:rPr>
        <w:rFonts w:ascii="Atkinson Hyperlegible" w:cs="Atkinson Hyperlegible" w:eastAsia="Atkinson Hyperlegible" w:hAnsi="Atkinson Hyperlegible"/>
        <w:rtl w:val="0"/>
      </w:rPr>
      <w:t xml:space="preserve"> 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7665, boul. Lacordaire, Montréal (Québec), Canada H1S 2A7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+1 514 252-3104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 </w:t>
    </w:r>
    <w:hyperlink r:id="rId1">
      <w:r w:rsidDel="00000000" w:rsidR="00000000" w:rsidRPr="00000000">
        <w:rPr>
          <w:rFonts w:ascii="Atkinson Hyperlegible" w:cs="Atkinson Hyperlegible" w:eastAsia="Atkinson Hyperlegible" w:hAnsi="Atkinson Hyperlegible"/>
          <w:color w:val="0563c1"/>
          <w:sz w:val="18"/>
          <w:szCs w:val="18"/>
          <w:u w:val="single"/>
          <w:rtl w:val="0"/>
        </w:rPr>
        <w:t xml:space="preserve">info@keroul.qc.ca</w:t>
      </w:r>
    </w:hyperlink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   </w:t>
    </w:r>
    <w:hyperlink r:id="rId2">
      <w:r w:rsidDel="00000000" w:rsidR="00000000" w:rsidRPr="00000000">
        <w:rPr>
          <w:rFonts w:ascii="Atkinson Hyperlegible" w:cs="Atkinson Hyperlegible" w:eastAsia="Atkinson Hyperlegible" w:hAnsi="Atkinson Hyperlegible"/>
          <w:color w:val="000000"/>
          <w:sz w:val="18"/>
          <w:szCs w:val="18"/>
          <w:u w:val="single"/>
          <w:rtl w:val="0"/>
        </w:rPr>
        <w:t xml:space="preserve">keroul.qc.ca</w:t>
      </w:r>
    </w:hyperlink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Play" w:cs="Play" w:eastAsia="Play" w:hAnsi="Play"/>
        <w:sz w:val="18"/>
        <w:szCs w:val="18"/>
        <w:shd w:fill="c6c6c6" w:val="clear"/>
      </w:rPr>
    </w:pPr>
    <w:r w:rsidDel="00000000" w:rsidR="00000000" w:rsidRPr="00000000">
      <w:rPr>
        <w:rtl w:val="0"/>
      </w:rPr>
    </w:r>
  </w:p>
  <w:tbl>
    <w:tblPr>
      <w:tblStyle w:val="Table2"/>
      <w:tblW w:w="8640.0" w:type="dxa"/>
      <w:jc w:val="left"/>
      <w:tblLayout w:type="fixed"/>
      <w:tblLook w:val="0600"/>
    </w:tblPr>
    <w:tblGrid>
      <w:gridCol w:w="2880"/>
      <w:gridCol w:w="2880"/>
      <w:gridCol w:w="2880"/>
      <w:tblGridChange w:id="0">
        <w:tblGrid>
          <w:gridCol w:w="2880"/>
          <w:gridCol w:w="2880"/>
          <w:gridCol w:w="288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10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851" w:right="0" w:hanging="7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368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392785" cy="598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_CA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tkinsonHyperlegible-regular.ttf"/><Relationship Id="rId4" Type="http://schemas.openxmlformats.org/officeDocument/2006/relationships/font" Target="fonts/AtkinsonHyperlegible-bold.ttf"/><Relationship Id="rId11" Type="http://schemas.openxmlformats.org/officeDocument/2006/relationships/font" Target="fonts/NotoSansSymbols-regular.ttf"/><Relationship Id="rId10" Type="http://schemas.openxmlformats.org/officeDocument/2006/relationships/font" Target="fonts/QuattrocentoSans-boldItalic.ttf"/><Relationship Id="rId12" Type="http://schemas.openxmlformats.org/officeDocument/2006/relationships/font" Target="fonts/NotoSansSymbols-bold.ttf"/><Relationship Id="rId9" Type="http://schemas.openxmlformats.org/officeDocument/2006/relationships/font" Target="fonts/QuattrocentoSans-italic.ttf"/><Relationship Id="rId5" Type="http://schemas.openxmlformats.org/officeDocument/2006/relationships/font" Target="fonts/AtkinsonHyperlegible-italic.ttf"/><Relationship Id="rId6" Type="http://schemas.openxmlformats.org/officeDocument/2006/relationships/font" Target="fonts/AtkinsonHyperlegible-boldItalic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info@keroul.qc.ca" TargetMode="External"/><Relationship Id="rId2" Type="http://schemas.openxmlformats.org/officeDocument/2006/relationships/hyperlink" Target="http://www.keroul.qc.ca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>MediaServiceImageTags</vt:lpwstr>
  </property>
</Properties>
</file>