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Aide-mémoire Infos pratiques page web</w:t>
      </w:r>
    </w:p>
    <w:p w:rsidR="00000000" w:rsidDel="00000000" w:rsidP="00000000" w:rsidRDefault="00000000" w:rsidRPr="00000000" w14:paraId="00000002">
      <w:pPr>
        <w:pStyle w:val="Heading2"/>
        <w:spacing w:line="260" w:lineRule="auto"/>
        <w:rPr/>
      </w:pPr>
      <w:r w:rsidDel="00000000" w:rsidR="00000000" w:rsidRPr="00000000">
        <w:rPr>
          <w:rtl w:val="0"/>
        </w:rPr>
        <w:t xml:space="preserve">Organisation d’un événement accessible aux personnes en situation de handicap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238.0" w:type="dxa"/>
        <w:jc w:val="left"/>
        <w:tblInd w:w="-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23"/>
        <w:gridCol w:w="12600"/>
        <w:gridCol w:w="540"/>
        <w:gridCol w:w="540"/>
        <w:gridCol w:w="135"/>
        <w:tblGridChange w:id="0">
          <w:tblGrid>
            <w:gridCol w:w="423"/>
            <w:gridCol w:w="12600"/>
            <w:gridCol w:w="540"/>
            <w:gridCol w:w="540"/>
            <w:gridCol w:w="13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1. Informations générales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Nom de l’événement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Date et heure (début et fin)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Durée prévue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Lieu exact (adresse et plan d’accès avec des photos)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Type d’événement (conférence, fête, projection, activité extérieure,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attrocento Sans" w:cs="Quattrocento Sans" w:eastAsia="Quattrocento Sans" w:hAnsi="Quattrocen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Logistique et accessibilité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Quattrocento Sans" w:cs="Quattrocento Sans" w:eastAsia="Quattrocento Sans" w:hAnsi="Quattrocen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i w:val="0"/>
                <w:iCs w:val="0"/>
                <w:smallCaps w:val="0"/>
                <w:strike w:val="0"/>
                <w:color w:val="f5f5f5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Nombre approximatif de participants attendus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Disposition des lieux (plan simple des zones clés : entrées, sorties, toilettes, coin calme)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Accessibilité physique (ascenseurs, rampes, stationnements adaptés, toilettes accessibles)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Moyens de transport disponibles avec les heures de disponibilités (autobus, métro, navettes, stationnements, trajet à pied)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Procédure d’inscription ou d’arrivée (files d’attente, billetterie, contrôle de sécurité)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left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3. Environnement sensoriel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Niveau sonore attendu (musique forte, bruit de foule, silence relatif)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Éclairage (fort, tamisé, présence de lumières clignotantes)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Espaces de repos ou zones calmes disponibles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Éclairage diffus et sans éblouissement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Présence de parfums ou d’odeurs fortes (nourriture, produits,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4. Activités et déroulement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Programme ou horaire clair (heures approximatives des activités principales)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Nature des activités (discours, jeux, danse, musique, présentation visuelle,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Possibilité de circuler librement ou nécessité de rester assis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Moments clés de transition (pause, fin de discours, changement d’activité)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5. Encadrement et sécurité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f5f5f5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Personnes ressources identifiables (ex. bénévoles avec un gilet distinctif)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Procédures en cas d’urgence (sorties, premiers soins, personnel d’assistance)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Encadrement prévu (accompagnateurs, ratio intervenants/participants)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b w:val="1"/>
                <w:bCs w:val="1"/>
                <w:color w:val="f5f5f5"/>
                <w:sz w:val="20"/>
                <w:szCs w:val="20"/>
                <w:rtl w:val="0"/>
              </w:rPr>
              <w:t xml:space="preserve">6. Recommandations pratiques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Play" w:cs="Play" w:eastAsia="Play" w:hAnsi="Play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Quoi apporter (bouteille d’eau, bouchons d’oreilles, coussin, carte d’identité)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Objets interdits qui pourraient sembler corrects pour la personne mais immoraux ou dangereux sur le site de l'événement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Possibilité d’être accompagné ou d’apporter un objet rassurant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4">
            <w:pPr>
              <w:spacing w:line="240" w:lineRule="auto"/>
              <w:rPr/>
            </w:pPr>
            <w:r w:rsidDel="00000000" w:rsidR="00000000" w:rsidRPr="00000000">
              <w:rPr>
                <w:rFonts w:ascii="Play" w:cs="Play" w:eastAsia="Play" w:hAnsi="Play"/>
                <w:color w:val="000000"/>
                <w:sz w:val="20"/>
                <w:szCs w:val="20"/>
                <w:rtl w:val="0"/>
              </w:rPr>
              <w:t xml:space="preserve">Disponibilité de nourriture ou boissons (et mention des allergènes)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☐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13.0" w:type="dxa"/>
              <w:left w:w="113.0" w:type="dxa"/>
              <w:bottom w:w="28.0" w:type="dxa"/>
              <w:right w:w="28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Quattrocento Sans" w:cs="Quattrocento Sans" w:eastAsia="Quattrocento Sans" w:hAnsi="Quattrocento Sans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sz w:val="20"/>
                <w:szCs w:val="20"/>
                <w:rtl w:val="0"/>
              </w:rPr>
              <w:t xml:space="preserve"> ☐ 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>
          <w:rFonts w:ascii="Play" w:cs="Play" w:eastAsia="Play" w:hAnsi="Play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18"/>
          <w:szCs w:val="18"/>
          <w:highlight w:val="white"/>
          <w:rtl w:val="0"/>
        </w:rPr>
        <w:t xml:space="preserve">*</w:t>
      </w:r>
      <w:r w:rsidDel="00000000" w:rsidR="00000000" w:rsidRPr="00000000">
        <w:rPr>
          <w:rFonts w:ascii="Play" w:cs="Play" w:eastAsia="Play" w:hAnsi="Play"/>
          <w:sz w:val="18"/>
          <w:szCs w:val="18"/>
          <w:highlight w:val="white"/>
          <w:rtl w:val="0"/>
        </w:rPr>
        <w:t xml:space="preserve"> </w:t>
      </w:r>
      <w:r w:rsidDel="00000000" w:rsidR="00000000" w:rsidRPr="00000000">
        <w:rPr>
          <w:rFonts w:ascii="Play" w:cs="Play" w:eastAsia="Play" w:hAnsi="Play"/>
          <w:sz w:val="18"/>
          <w:szCs w:val="18"/>
          <w:rtl w:val="0"/>
        </w:rPr>
        <w:t xml:space="preserve">Cet aide-mémoire a été conçu en collaboration avec Perry Croteau, un amoureux des festivals qui souhaite faciliter la rencontre entre les personnes autistes et les organisateurs de festivals.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2240" w:w="15840" w:orient="landscape"/>
      <w:pgMar w:bottom="1134" w:top="1610" w:left="921" w:right="1440" w:header="0" w:footer="2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tkinson Hyperlegibl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Noto Sans Symbols">
    <w:embedRegular w:fontKey="{00000000-0000-0000-0000-000000000000}" r:id="rId11" w:subsetted="0"/>
    <w:embedBold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tkinson Hyperlegible" w:cs="Atkinson Hyperlegible" w:eastAsia="Atkinson Hyperlegible" w:hAnsi="Atkinson Hyperlegible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652980" cy="41333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980" cy="4133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spacing w:line="276" w:lineRule="auto"/>
      <w:ind w:left="142" w:right="-1935" w:firstLine="0"/>
      <w:rPr>
        <w:rFonts w:ascii="Atkinson Hyperlegible" w:cs="Atkinson Hyperlegible" w:eastAsia="Atkinson Hyperlegible" w:hAnsi="Atkinson Hyperlegible"/>
        <w:sz w:val="18"/>
        <w:szCs w:val="18"/>
      </w:rPr>
    </w:pPr>
    <w:r w:rsidDel="00000000" w:rsidR="00000000" w:rsidRPr="00000000">
      <w:rPr>
        <w:rFonts w:ascii="Atkinson Hyperlegible" w:cs="Atkinson Hyperlegible" w:eastAsia="Atkinson Hyperlegible" w:hAnsi="Atkinson Hyperlegible"/>
        <w:b w:val="1"/>
        <w:bCs w:val="1"/>
        <w:rtl w:val="0"/>
      </w:rPr>
      <w:t xml:space="preserve">Kéroul   </w:t>
    </w:r>
    <w:r w:rsidDel="00000000" w:rsidR="00000000" w:rsidRPr="00000000">
      <w:rPr>
        <w:rFonts w:ascii="Atkinson Hyperlegible" w:cs="Atkinson Hyperlegible" w:eastAsia="Atkinson Hyperlegible" w:hAnsi="Atkinson Hyperlegible"/>
        <w:rtl w:val="0"/>
      </w:rPr>
      <w:t xml:space="preserve"> </w:t>
    </w:r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 7665, boul. Lacordaire, Montréal (Québec), Canada H1S 2A7  </w:t>
    </w:r>
    <w:r w:rsidDel="00000000" w:rsidR="00000000" w:rsidRPr="00000000">
      <w:rPr>
        <w:rFonts w:ascii="Noto Sans Symbols" w:cs="Noto Sans Symbols" w:eastAsia="Noto Sans Symbols" w:hAnsi="Noto Sans Symbols"/>
        <w:sz w:val="18"/>
        <w:szCs w:val="18"/>
        <w:rtl w:val="0"/>
      </w:rPr>
      <w:t xml:space="preserve">∙</w:t>
    </w:r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+1 514 252-3104  </w:t>
    </w:r>
    <w:r w:rsidDel="00000000" w:rsidR="00000000" w:rsidRPr="00000000">
      <w:rPr>
        <w:rFonts w:ascii="Noto Sans Symbols" w:cs="Noto Sans Symbols" w:eastAsia="Noto Sans Symbols" w:hAnsi="Noto Sans Symbols"/>
        <w:sz w:val="18"/>
        <w:szCs w:val="18"/>
        <w:rtl w:val="0"/>
      </w:rPr>
      <w:t xml:space="preserve">∙</w:t>
    </w:r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  </w:t>
    </w:r>
    <w:hyperlink r:id="rId1">
      <w:r w:rsidDel="00000000" w:rsidR="00000000" w:rsidRPr="00000000">
        <w:rPr>
          <w:rFonts w:ascii="Atkinson Hyperlegible" w:cs="Atkinson Hyperlegible" w:eastAsia="Atkinson Hyperlegible" w:hAnsi="Atkinson Hyperlegible"/>
          <w:color w:val="0563c1"/>
          <w:sz w:val="18"/>
          <w:szCs w:val="18"/>
          <w:u w:val="single"/>
          <w:rtl w:val="0"/>
        </w:rPr>
        <w:t xml:space="preserve">info@keroul.qc.ca</w:t>
      </w:r>
    </w:hyperlink>
    <w:r w:rsidDel="00000000" w:rsidR="00000000" w:rsidRPr="00000000">
      <w:rPr>
        <w:rFonts w:ascii="Atkinson Hyperlegible" w:cs="Atkinson Hyperlegible" w:eastAsia="Atkinson Hyperlegible" w:hAnsi="Atkinson Hyperlegible"/>
        <w:sz w:val="18"/>
        <w:szCs w:val="18"/>
        <w:rtl w:val="0"/>
      </w:rPr>
      <w:t xml:space="preserve">    </w:t>
    </w:r>
    <w:r w:rsidDel="00000000" w:rsidR="00000000" w:rsidRPr="00000000">
      <w:rPr>
        <w:rFonts w:ascii="Noto Sans Symbols" w:cs="Noto Sans Symbols" w:eastAsia="Noto Sans Symbols" w:hAnsi="Noto Sans Symbols"/>
        <w:sz w:val="18"/>
        <w:szCs w:val="18"/>
        <w:rtl w:val="0"/>
      </w:rPr>
      <w:t xml:space="preserve">∙   </w:t>
    </w:r>
    <w:hyperlink r:id="rId2">
      <w:r w:rsidDel="00000000" w:rsidR="00000000" w:rsidRPr="00000000">
        <w:rPr>
          <w:rFonts w:ascii="Atkinson Hyperlegible" w:cs="Atkinson Hyperlegible" w:eastAsia="Atkinson Hyperlegible" w:hAnsi="Atkinson Hyperlegible"/>
          <w:color w:val="000000"/>
          <w:sz w:val="18"/>
          <w:szCs w:val="18"/>
          <w:u w:val="single"/>
          <w:rtl w:val="0"/>
        </w:rPr>
        <w:t xml:space="preserve">keroul.qc.ca</w:t>
      </w:r>
    </w:hyperlink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8640.0" w:type="dxa"/>
      <w:jc w:val="left"/>
      <w:tblLayout w:type="fixed"/>
      <w:tblLook w:val="0600"/>
    </w:tblPr>
    <w:tblGrid>
      <w:gridCol w:w="2880"/>
      <w:gridCol w:w="2880"/>
      <w:gridCol w:w="2880"/>
      <w:tblGridChange w:id="0">
        <w:tblGrid>
          <w:gridCol w:w="2880"/>
          <w:gridCol w:w="2880"/>
          <w:gridCol w:w="288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8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851" w:right="0" w:hanging="7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36891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392785" cy="598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_CA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tkinsonHyperlegible-regular.ttf"/><Relationship Id="rId4" Type="http://schemas.openxmlformats.org/officeDocument/2006/relationships/font" Target="fonts/AtkinsonHyperlegible-bold.ttf"/><Relationship Id="rId11" Type="http://schemas.openxmlformats.org/officeDocument/2006/relationships/font" Target="fonts/NotoSansSymbols-regular.ttf"/><Relationship Id="rId10" Type="http://schemas.openxmlformats.org/officeDocument/2006/relationships/font" Target="fonts/QuattrocentoSans-boldItalic.ttf"/><Relationship Id="rId12" Type="http://schemas.openxmlformats.org/officeDocument/2006/relationships/font" Target="fonts/NotoSansSymbols-bold.ttf"/><Relationship Id="rId9" Type="http://schemas.openxmlformats.org/officeDocument/2006/relationships/font" Target="fonts/QuattrocentoSans-italic.ttf"/><Relationship Id="rId5" Type="http://schemas.openxmlformats.org/officeDocument/2006/relationships/font" Target="fonts/AtkinsonHyperlegible-italic.ttf"/><Relationship Id="rId6" Type="http://schemas.openxmlformats.org/officeDocument/2006/relationships/font" Target="fonts/AtkinsonHyperlegible-boldItalic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info@keroul.qc.ca" TargetMode="External"/><Relationship Id="rId2" Type="http://schemas.openxmlformats.org/officeDocument/2006/relationships/hyperlink" Target="http://www.keroul.qc.ca/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>MediaServiceImageTags</vt:lpwstr>
  </property>
</Properties>
</file>